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8"/>
      </w:tblGrid>
      <w:tr w:rsidR="009756EE" w:rsidRPr="009756EE" w14:paraId="4114097E" w14:textId="77777777" w:rsidTr="009756EE"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9756EE" w:rsidRPr="009756EE" w14:paraId="70DB232F" w14:textId="77777777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327557B" w14:textId="77777777" w:rsidR="009756EE" w:rsidRPr="009756EE" w:rsidRDefault="009756EE" w:rsidP="009756EE">
                  <w:pPr>
                    <w:widowControl/>
                    <w:spacing w:line="24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</w:pPr>
                  <w:r w:rsidRPr="009756EE"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  <w:t>26 Mart 2022 CUMARTESİ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706FEF6" w14:textId="77777777" w:rsidR="009756EE" w:rsidRPr="009756EE" w:rsidRDefault="009756EE" w:rsidP="009756EE">
                  <w:pPr>
                    <w:widowControl/>
                    <w:spacing w:line="24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</w:pPr>
                  <w:proofErr w:type="spellStart"/>
                  <w:r w:rsidRPr="009756EE">
                    <w:rPr>
                      <w:rFonts w:ascii="Palatino Linotype" w:eastAsia="宋体" w:hAnsi="Palatino Linotype" w:cs="Times New Roman"/>
                      <w:b/>
                      <w:bCs/>
                      <w:color w:val="800000"/>
                      <w:kern w:val="0"/>
                      <w:sz w:val="24"/>
                      <w:szCs w:val="24"/>
                    </w:rPr>
                    <w:t>Resmî</w:t>
                  </w:r>
                  <w:proofErr w:type="spellEnd"/>
                  <w:r w:rsidRPr="009756EE">
                    <w:rPr>
                      <w:rFonts w:ascii="Palatino Linotype" w:eastAsia="宋体" w:hAnsi="Palatino Linotype" w:cs="Times New Roman"/>
                      <w:b/>
                      <w:bCs/>
                      <w:color w:val="800000"/>
                      <w:kern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756EE">
                    <w:rPr>
                      <w:rFonts w:ascii="Palatino Linotype" w:eastAsia="宋体" w:hAnsi="Palatino Linotype" w:cs="Times New Roman"/>
                      <w:b/>
                      <w:bCs/>
                      <w:color w:val="800000"/>
                      <w:kern w:val="0"/>
                      <w:sz w:val="24"/>
                      <w:szCs w:val="24"/>
                    </w:rPr>
                    <w:t>Gazete</w:t>
                  </w:r>
                  <w:proofErr w:type="spellEnd"/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27014D0" w14:textId="77777777" w:rsidR="009756EE" w:rsidRPr="009756EE" w:rsidRDefault="009756EE" w:rsidP="009756EE">
                  <w:pPr>
                    <w:widowControl/>
                    <w:spacing w:before="100" w:beforeAutospacing="1" w:after="100" w:afterAutospacing="1"/>
                    <w:jc w:val="right"/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</w:pPr>
                  <w:proofErr w:type="spellStart"/>
                  <w:r w:rsidRPr="009756EE"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  <w:t>Sayı</w:t>
                  </w:r>
                  <w:proofErr w:type="spellEnd"/>
                  <w:r w:rsidRPr="009756EE"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  <w:t xml:space="preserve"> : 31790</w:t>
                  </w:r>
                </w:p>
              </w:tc>
            </w:tr>
            <w:tr w:rsidR="009756EE" w:rsidRPr="009756EE" w14:paraId="6DC44581" w14:textId="77777777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1E1C80C" w14:textId="77777777" w:rsidR="009756EE" w:rsidRPr="009756EE" w:rsidRDefault="009756EE" w:rsidP="009756E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</w:pPr>
                  <w:r w:rsidRPr="009756EE">
                    <w:rPr>
                      <w:rFonts w:ascii="Arial" w:eastAsia="宋体" w:hAnsi="Arial" w:cs="Arial"/>
                      <w:b/>
                      <w:bCs/>
                      <w:color w:val="000080"/>
                      <w:kern w:val="0"/>
                      <w:sz w:val="18"/>
                      <w:szCs w:val="18"/>
                    </w:rPr>
                    <w:t>YÖNETMELİK</w:t>
                  </w:r>
                </w:p>
              </w:tc>
            </w:tr>
            <w:tr w:rsidR="009756EE" w:rsidRPr="009756EE" w14:paraId="4BA7F1BC" w14:textId="77777777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DAB5B34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22"/>
                      <w:u w:val="single"/>
                    </w:rPr>
                  </w:pP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  <w:u w:val="single"/>
                    </w:rPr>
                    <w:t>Ticaret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  <w:u w:val="single"/>
                    </w:rPr>
                    <w:t>Bakanlığından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  <w:u w:val="single"/>
                    </w:rPr>
                    <w:t>:</w:t>
                  </w:r>
                </w:p>
                <w:p w14:paraId="51D69EC0" w14:textId="77777777" w:rsidR="009756EE" w:rsidRPr="009756EE" w:rsidRDefault="009756EE" w:rsidP="009756EE">
                  <w:pPr>
                    <w:widowControl/>
                    <w:spacing w:line="240" w:lineRule="atLeast"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9"/>
                      <w:szCs w:val="19"/>
                    </w:rPr>
                  </w:pPr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İTHALATTA HAKSIZ REKABETİN ÖNLENMESİNE</w:t>
                  </w:r>
                </w:p>
                <w:p w14:paraId="319502D1" w14:textId="77777777" w:rsidR="009756EE" w:rsidRPr="009756EE" w:rsidRDefault="009756EE" w:rsidP="009756EE">
                  <w:pPr>
                    <w:widowControl/>
                    <w:spacing w:line="240" w:lineRule="atLeast"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9"/>
                      <w:szCs w:val="19"/>
                    </w:rPr>
                  </w:pPr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İLİŞKİN TEBLİĞ (TEBLİĞ NO: 2022/10)</w:t>
                  </w:r>
                </w:p>
                <w:p w14:paraId="3C99E850" w14:textId="77777777" w:rsidR="009756EE" w:rsidRPr="009756EE" w:rsidRDefault="009756EE" w:rsidP="009756EE">
                  <w:pPr>
                    <w:widowControl/>
                    <w:spacing w:line="240" w:lineRule="atLeast"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9"/>
                      <w:szCs w:val="19"/>
                    </w:rPr>
                  </w:pPr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 </w:t>
                  </w:r>
                </w:p>
                <w:p w14:paraId="77721D7A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Amaç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ve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kapsam</w:t>
                  </w:r>
                  <w:proofErr w:type="spellEnd"/>
                </w:p>
                <w:p w14:paraId="6FE1B80B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MADDE 1-</w:t>
                  </w:r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 (1) Bu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Tebliğin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amacı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yerli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üreticiler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Alfa Solar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Enerji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İnşaat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San.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Tic. A.Ş., 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Gazioğlu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 Solar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Enerji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San.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Tic. A.Ş., GTC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Güneş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San.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Tic. A.Ş., Mir Solar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Enerji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San.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Tic. A.Ş., 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Ödül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Enerji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Taahhüt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İnşaat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San.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Tic. A.Ş., 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Sunlego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 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Enerji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Sistemleri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San.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Tic. A.Ş., Elin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Enerji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A.Ş., 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Cw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 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Enerji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Müh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. Tic.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San. A.Ş.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tarafından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gerçekleştirilen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 Smart 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Enerji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A.Ş., Schmid 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Pekintaş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 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Enerji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 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Hsa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 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Enerji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A.Ş.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tarafından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desteklenen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başvuruya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istinaden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Çin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Halk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Cumhuriyeti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menşeli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“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bir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modül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halinde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birleştirilmiş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veya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panolarda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düzenlenmiş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 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fotovoltaik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 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hücreler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”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ürünü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ithalatına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yönelik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yürürlükte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bulunan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dampinge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karşı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kesin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önleme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ilişkin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nihai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gözden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geçirme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soruşturması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açılması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açılan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soruşturmanın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usul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esaslarının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belirlenmesidir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.</w:t>
                  </w:r>
                </w:p>
                <w:p w14:paraId="415E7F66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Dayanak</w:t>
                  </w:r>
                  <w:proofErr w:type="spellEnd"/>
                </w:p>
                <w:p w14:paraId="614A3A34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MADDE 2-</w:t>
                  </w:r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 (1)  Bu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Tebliğ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, 14/6/1989 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tarihli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3577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sayılı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İthalatta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Haksız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Rekabetin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Önlenmesi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Hakkında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Kanun, 20/10/1999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tarihli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99/13482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sayılı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Bakanlar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Kurulu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Kararı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ile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yürürlüğe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konulan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İthalatta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Haksız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Rekabetin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Önlenmesi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Hakkında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Karar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30/10/1999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tarihli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23861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sayılı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Resmî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Gazete’de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yayımlanan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İthalatta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Haksız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Rekabetin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Önlenmesi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Hakkında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Yönetmeliğe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dayanılarak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hazırlanmıştır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.</w:t>
                  </w:r>
                </w:p>
                <w:p w14:paraId="77A7C809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Tanımlar</w:t>
                  </w:r>
                  <w:proofErr w:type="spellEnd"/>
                </w:p>
                <w:p w14:paraId="7AB1F7BA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MADDE 3-</w:t>
                  </w:r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 (1) Bu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Tebliğde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geçen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;</w:t>
                  </w:r>
                </w:p>
                <w:p w14:paraId="1879A185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a)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Bakanlık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: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Ticaret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Bakanlığını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,</w:t>
                  </w:r>
                </w:p>
                <w:p w14:paraId="0D36240A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b) ÇHC: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Çin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Halk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Cumhuriyeti’ni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,</w:t>
                  </w:r>
                </w:p>
                <w:p w14:paraId="71115A5D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c) EBYS: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Elektronik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Belge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Yönetim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Sistemini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,</w:t>
                  </w:r>
                </w:p>
                <w:p w14:paraId="41C48D9B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ç)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Genel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Müdürlük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: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Bakanlık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İthalat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Genel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Müdürlüğünü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,</w:t>
                  </w:r>
                </w:p>
                <w:p w14:paraId="2C795BD6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d) GTİP: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Gümrük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tarife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istatistik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pozisyonunu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,</w:t>
                  </w:r>
                </w:p>
                <w:p w14:paraId="46C4E321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e) KEP: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Kayıtlı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elektronik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posta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adresini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,</w:t>
                  </w:r>
                </w:p>
                <w:p w14:paraId="0A4A4049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f) NGGS: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Nihai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gözden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geçirme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soruşturmasını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,</w:t>
                  </w:r>
                </w:p>
                <w:p w14:paraId="5D90D515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g) TGTC: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İstatistik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Pozisyonlarına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Bölünmüş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Türk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Gümrük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Tarife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Cetvelini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,</w:t>
                  </w:r>
                </w:p>
                <w:p w14:paraId="184B790C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ğ)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Yönetmelik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: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İthalatta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Haksız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Rekabetin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Önlenmesi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Hakkında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Yönetmeliği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,</w:t>
                  </w:r>
                </w:p>
                <w:p w14:paraId="226F82D9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ifade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 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eder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.</w:t>
                  </w:r>
                </w:p>
                <w:p w14:paraId="2AFB8F3B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Soruşturma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konusu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ürün</w:t>
                  </w:r>
                  <w:proofErr w:type="spellEnd"/>
                </w:p>
                <w:p w14:paraId="0FB2A074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MADDE 4-</w:t>
                  </w:r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 (1)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Soruşturma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konusu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ürün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, 8541.43.00.00.00 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GTİP’i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 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altında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kayıtlı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“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bir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 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modül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 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halinde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birleştirilmiş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veya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panolarda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düzenlenmiş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 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fotovoltaik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 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hücreler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” (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Güneş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Panelleri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)  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tanımlı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üründür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.</w:t>
                  </w:r>
                </w:p>
                <w:p w14:paraId="52C249B2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(2)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Bahse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konu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GTİP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yalnızca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bilgi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amaçlı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verilmiş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olup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bağlayıcı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mahiyette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değildir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.</w:t>
                  </w:r>
                </w:p>
                <w:p w14:paraId="02921D6A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(3)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Soruşturma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konusu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ürünün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 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TGTC’de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 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yer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alan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tarife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pozisyonunda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/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veya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eşya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tanımında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yapılacak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değişiklikler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bu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Tebliğ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hükümlerinin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uygulanmasına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engel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teşkil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etmez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.</w:t>
                  </w:r>
                </w:p>
                <w:p w14:paraId="3A7F26A0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Başvurunun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temsil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niteliği</w:t>
                  </w:r>
                  <w:proofErr w:type="spellEnd"/>
                </w:p>
                <w:p w14:paraId="3AF9AE08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MADDE 5-</w:t>
                  </w:r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 (1)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Başvuru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aşamasında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sunulan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delillerden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Yönetmeliğin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18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inci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maddesi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çerçevesinde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yerli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üretim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dalını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temsil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niteliğini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haiz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olduğu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anlaşılan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yerli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üreticiler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Alfa Solar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Enerji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İnşaat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San.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Tic. A.Ş., 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Gazioğlu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 Solar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Enerji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San.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Tic. A.Ş., GTC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Güneş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San.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Tic. A.Ş., Mir Solar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Enerji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San.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Tic. A.Ş., 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Ödül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Enerji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Taahhüt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İnşaat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San.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Tic. A.Ş., 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Sunlego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 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Enerji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Sistemleri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San.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Tic. A.Ş., Elin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Enerji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A.Ş.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 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Cw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 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Enerji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Müh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. </w:t>
                  </w:r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lastRenderedPageBreak/>
                    <w:t xml:space="preserve">Tic.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San. A.Ş.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tarafından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yapılan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başvurunun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Yönetmeliğin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20 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nci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 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maddesi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uyarınca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yerli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üretim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dalı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adına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yapıldığı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anlaşılmıştır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. Bu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kapsamda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söz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konusu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firmalar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bu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Tebliğin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ilgili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bölümlerinde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“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yerli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üretim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dalı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”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olarak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anılacaktır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.</w:t>
                  </w:r>
                </w:p>
                <w:p w14:paraId="17963496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Mevcut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önlem</w:t>
                  </w:r>
                  <w:proofErr w:type="spellEnd"/>
                </w:p>
                <w:p w14:paraId="786C237F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MADDE 6-</w:t>
                  </w:r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 (1) 1/4/2017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tarihli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30025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sayılı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Resmî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Gazete’de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yayımlanan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İthalatta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Haksız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Rekabetin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Önlenmesine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İlişkin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Tebliğ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Tebliğ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No: 2017/6)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ile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ÇHC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menşeli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“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fotovoltaik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 (solar) 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modül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 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 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paneller”in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 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ithalinde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ihracatçı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firma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bazında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20 ABD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doları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/m2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ile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25 ABD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doları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/m2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tutarlarında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dampinge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karşı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kesin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önlem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yürürlüğe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girmiştir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.</w:t>
                  </w:r>
                </w:p>
                <w:p w14:paraId="679ACA80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Gerekçe</w:t>
                  </w:r>
                  <w:proofErr w:type="spellEnd"/>
                </w:p>
                <w:p w14:paraId="38578B02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MADDE 7-</w:t>
                  </w:r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 (1)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Yönetmeliğin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35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inci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maddesinin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ikinci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fıkrası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hükmünce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, 10/7/2021 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tarihli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31537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sayılı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Resmî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Gazete’de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yayımlanan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İthalatta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Haksız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Rekabetin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Önlenmesine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İlişkin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Tebliğ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Tebliğ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No: 2021/39)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ile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ÇHC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menşeli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mevcut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önlemin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yürürlükten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kalkacağı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ilgili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ürünün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yerli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üreticilerinin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mevzuatta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öngörülen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sürelerde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yeterli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delillerle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desteklenmiş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bir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başvuru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ile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NGGS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açılması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talebinde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bulunabilecekleri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duyurulmuştur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.</w:t>
                  </w:r>
                </w:p>
                <w:p w14:paraId="117CA4E5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(2)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Mezkûr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ilanı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müteakip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yerli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üretim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dalı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tarafından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iletilen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başvurunun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incelenmesi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neticesinde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uygulanan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 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dampinge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 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karşı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önlemin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yürürlükten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kalkması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halinde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dampingin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zararın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devam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etmesi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veya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yeniden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meydana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gelmesinin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muhtemel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olduğu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bir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NGGS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açılmasını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haklı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kılacak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bilgi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belge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delillerin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mevcut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olduğu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anlaşılmıştır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.</w:t>
                  </w:r>
                </w:p>
                <w:p w14:paraId="75CE9E82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Karar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ve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işlemler</w:t>
                  </w:r>
                  <w:proofErr w:type="spellEnd"/>
                </w:p>
                <w:p w14:paraId="12A3DFB5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MADDE 8-</w:t>
                  </w:r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 (1)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Yapılan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inceleme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sonucunda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bir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NGGS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açılabilmesi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için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yeterli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bilgi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belge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delillerin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bulunduğu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anlaşıldığından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İthalatta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Haksız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Rekabeti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Değerlendirme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Kurulu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Kararı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ile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ÇHC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menşeli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önlem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konusu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ürüne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yönelik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olarak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Yönetmeliğin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35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inci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maddesi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çerçevesinde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bir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NGGS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açılmasına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karar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verilmiştir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.</w:t>
                  </w:r>
                </w:p>
                <w:p w14:paraId="33C9ED9C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Piyasa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ekonomisi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değerlendirmesi</w:t>
                  </w:r>
                  <w:proofErr w:type="spellEnd"/>
                </w:p>
                <w:p w14:paraId="64AD3EC1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MADDE 9-</w:t>
                  </w:r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 (1) 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ÇHC’de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 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yerleşik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soruşturmaya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tabi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üretici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veya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üreticilerin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soruşturma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konusu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ürünün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üretiminde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satışında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Yönetmeliğin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Ek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1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inci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maddesindeki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ölçütler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çerçevesinde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piyasa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ekonomisi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koşullarının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geçerli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olduğunu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12 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nci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 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maddede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belirtilen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süreler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içinde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yeterli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deliller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ile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ispat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etmesi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durumunda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bu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üretici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veya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üreticiler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için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normal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değerin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tespitinde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Yönetmeliğin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5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inci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maddesi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aksi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takdirde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Yönetmeliğin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7 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nci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 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maddesi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hükümleri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uygulanır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. 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Yönetmeliğin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7 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nci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 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maddesi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hükümlerinin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tatbiki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halinde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adı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geçen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ülke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için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piyasa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ekonomisi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uygulayan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emsal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ülke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olarak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Türkiye’nin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seçilmesi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öngörülür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.</w:t>
                  </w:r>
                </w:p>
                <w:p w14:paraId="654D5E15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İlgili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taraflara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soruşturma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açılışının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bildirilmesi</w:t>
                  </w:r>
                  <w:proofErr w:type="spellEnd"/>
                </w:p>
                <w:p w14:paraId="641F4204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MADDE 10-</w:t>
                  </w:r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 (1)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Yönetmeliğin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23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üncü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maddesi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uyarınca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soruşturma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konusu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malın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ihracatçısı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yabancı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üreticisi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ithalatçısı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üye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çoğunluğu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bunlardan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oluşan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meslek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kuruluşları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ihracatçı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ülke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hükümeti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benzer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malın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Türkiye’deki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üreticisi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üye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çoğunluğu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benzer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malın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Türkiye’deki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üreticilerinden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oluşan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meslek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kuruluşları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ilgili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taraflar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olarak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kabul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edilir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Ancak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, 12 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nci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 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maddede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belirtilen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süreler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içinde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soru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formlarını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cevaplamak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veya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görüşlerini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sunmak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suretiyle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kendilerini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yetkili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mercie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bildirenler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soruşturmada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ilgili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taraf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olarak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dikkate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alınır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.</w:t>
                  </w:r>
                </w:p>
                <w:p w14:paraId="1E346CFF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(2)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Soruşturma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açılmasını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müteakip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soruşturma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konusu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ülkede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yerleşik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bilinen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üretici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/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ihracatçılara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soruşturmaya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konu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ülkenin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Ankara’daki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Büyükelçiliği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ile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başvuruda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belirtilen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Bakanlıkça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tespit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edilen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soruşturmaya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konu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ürünün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bilinen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ithalatçılarına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soruşturmanın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açılışına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ilişkin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bildirimde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bulunulur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.</w:t>
                  </w:r>
                </w:p>
                <w:p w14:paraId="5C46286F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(3)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Bildirimde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soruşturma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açılış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Tebliği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başvurunun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gizli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olmayan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özeti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soru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formlarına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erişim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hususunda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bilgiye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yer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verilir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.</w:t>
                  </w:r>
                </w:p>
                <w:p w14:paraId="0A8A1434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(4)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Bildirim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gönderilemeyen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veya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kendilerine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bildirim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ulaşmayan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diğer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ilgili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taraflar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soruşturma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ile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ilgili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bilgilere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Bakanlığın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“</w:t>
                  </w:r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  <w:u w:val="single"/>
                    </w:rPr>
                    <w:t>https://www.ticaret.gov.tr/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  <w:u w:val="single"/>
                    </w:rPr>
                    <w:t>ithalat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”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uzantılı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internet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sitesinden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sırasıyla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“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Ticaret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Politikası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Savunma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Araçları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”, “Damping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Sübvansiyon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”, “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Soruşturmalar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”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sekmelerini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takip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ederek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soruşturmaya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dair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ilgili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başlıktan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erişebilir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.</w:t>
                  </w:r>
                </w:p>
                <w:p w14:paraId="6E35B540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Yetkili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 xml:space="preserve"> merci,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ilgili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tarafların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görüş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ve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cevaplarını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sunmaları</w:t>
                  </w:r>
                  <w:proofErr w:type="spellEnd"/>
                </w:p>
                <w:p w14:paraId="1D775874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MADDE 11-</w:t>
                  </w:r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 (1)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Soruşturma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aşağıda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iletişim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bilgileri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yer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alan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Genel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Müdürlük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tarafından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yürütülür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.</w:t>
                  </w:r>
                </w:p>
                <w:p w14:paraId="06892BE4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lastRenderedPageBreak/>
                    <w:t xml:space="preserve">T.C.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Ticaret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Bakanlığı</w:t>
                  </w:r>
                  <w:proofErr w:type="spellEnd"/>
                </w:p>
                <w:p w14:paraId="576583D2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İthalat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Genel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Müdürlüğü</w:t>
                  </w:r>
                  <w:proofErr w:type="spellEnd"/>
                </w:p>
                <w:p w14:paraId="6C7EFFC1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Damping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Sübvansiyon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Dairesi</w:t>
                  </w:r>
                  <w:proofErr w:type="spellEnd"/>
                </w:p>
                <w:p w14:paraId="5F26819A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Adres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: 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Söğütözü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 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Mah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. 2176.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Sok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. No: 63 06530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Çankaya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/ANKARA</w:t>
                  </w:r>
                </w:p>
                <w:p w14:paraId="6346DFC3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Telefon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: +90 312 204 75 00</w:t>
                  </w:r>
                </w:p>
                <w:p w14:paraId="31032E7B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 (2)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Soruşturmada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“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Türkiye’de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yerleşik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firma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kurum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kuruluşlar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”,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soru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formlarına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cevapları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ile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resmi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görüşlerini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kendilerine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ait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KEP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adreslerinden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Bakanlığın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aşağıda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yer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alan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KEP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adresine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gönderir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.</w:t>
                  </w:r>
                </w:p>
                <w:p w14:paraId="621AFB13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KEP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adresi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: </w:t>
                  </w:r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  <w:u w:val="single"/>
                    </w:rPr>
                    <w:t>ticaretbakanligi@hs01.kep.tr</w:t>
                  </w:r>
                </w:p>
                <w:p w14:paraId="401EF24D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(3)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Soruşturmada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“yurt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dışında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yerleşik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firma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kurum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kuruluşlar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”,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soru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formlarına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cevapları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ile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resmi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görüşlerini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fiziki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elektronik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(CD/USB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ile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)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ortamda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Bakanlığın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posta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adresine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aşağıda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yer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alan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e-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posta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adresine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gönderir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.</w:t>
                  </w:r>
                </w:p>
                <w:p w14:paraId="7E424B1C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EBYS e-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posta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adresi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: </w:t>
                  </w:r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  <w:u w:val="single"/>
                    </w:rPr>
                    <w:t>ithebys@ticaret.gov.tr</w:t>
                  </w:r>
                </w:p>
                <w:p w14:paraId="50487AE4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(4)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Soruşturmaya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ilişkin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yazılı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sözlü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iletişim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Türkçe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yapılır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Soru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formuna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yanıtlar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hariç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olmak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üzere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Türkçe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dışında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bir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dilde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sunulan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hiçbir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bilgi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belge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görüş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talep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dikkate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alınmaz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.</w:t>
                  </w:r>
                </w:p>
                <w:p w14:paraId="079F5147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(5)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İlgili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taraflarca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soru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formuna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verilen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cevaplar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soruşturmayla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ilgili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sunulan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diğer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bilgi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belge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görüş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destekleyici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deliller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aksi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belirtilmedikçe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yazılı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olarak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sunulur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Yazılı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sunumlarda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ilgili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tarafların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isim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unvanı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adres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bilgileri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elektronik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posta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adresi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telefon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numaraları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belirtilir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. “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Türkiye’de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yerleşik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firma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kurum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kuruluşlardan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ilgili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taraf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olmak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isteyenler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”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tarafından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yazılı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sunumlarda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kendilerine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ait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KEP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adresleri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de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belirtilir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.</w:t>
                  </w:r>
                </w:p>
                <w:p w14:paraId="05FDB91C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(6)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İlgili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taraflar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soru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formunda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istenilen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bilgiler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haricinde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soruşturmayla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ilgili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olduğu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düşünülen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diğer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bilgi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belge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görüşlerini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destekleyici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deliller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ile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birlikte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Genel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Müdürlüğe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yazılı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olarak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12 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nci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 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maddenin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ikinci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fıkrasında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belirtilen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süre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içerisinde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sunabilir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.</w:t>
                  </w:r>
                </w:p>
                <w:p w14:paraId="71B31001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(7)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Soruşturma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süresince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Yönetmeliğin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22 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nci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 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maddesinin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ikinci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fıkrası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çerçevesinde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gizlilik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kaydıyla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verilen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her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türlü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bilgi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belge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görüşün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gizli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olmayan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bir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özeti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sunulur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Gizli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olmayan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özet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esas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bilginin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makul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ölçüde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anlaşılmasına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olanak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sağlayacak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ayrıntıda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olur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İlgili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taraflar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istisnai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hallerde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bu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bilgilerin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özetlenemeyecek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nitelikte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olduklarını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belirtebilir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. Bu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gibi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istisnai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durumlarda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bilgilerin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özetlenemeyecek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nitelikte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olmasının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nedenlerinin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belirtilmesi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gerekir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.</w:t>
                  </w:r>
                </w:p>
                <w:p w14:paraId="7D79F656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Süreler</w:t>
                  </w:r>
                  <w:proofErr w:type="spellEnd"/>
                </w:p>
                <w:p w14:paraId="4AEC4ABC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MADDE 12-</w:t>
                  </w:r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 (1) 10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uncu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maddenin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ikinci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fıkrasında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belirtilen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bildirimin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gönderildiği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bütün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ilgili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taraflar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için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soru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formunu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cevaplandırma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süresi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soruşturmanın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açılışına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ilişkin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bildirimin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gönderildiği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tarihten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itibaren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posta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süresi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dâhil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37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gündür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.</w:t>
                  </w:r>
                </w:p>
                <w:p w14:paraId="65FBF41F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(2) 10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uncu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maddenin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dördüncü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fıkrasında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yer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alan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bildirimin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gönderilemediği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ilgili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taraflar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soru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formuna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ilişkin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cevaplarını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soruşturma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ile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ilgili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görüşlerini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bu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Tebliğin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yayımı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tarihinden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itibaren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başlayacak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37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günlük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süre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içerisinde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sunar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.</w:t>
                  </w:r>
                </w:p>
                <w:p w14:paraId="0DD143B3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(3)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Soruşturmanın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sonucundan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etkilenebileceklerini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iddia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eden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10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uncu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maddenin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birinci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fıkrası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dışında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kalan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diğer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yerli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yabancı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taraflar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görüşlerini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bu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Tebliğin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yayımı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tarihinden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itibaren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soruşturmanın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akışını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etkilemeyecek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şekilde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soruşturma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süreci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içerisinde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sunabilir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.</w:t>
                  </w:r>
                </w:p>
                <w:p w14:paraId="301ED5DD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İşbirliğine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gelinmemesi</w:t>
                  </w:r>
                  <w:proofErr w:type="spellEnd"/>
                </w:p>
                <w:p w14:paraId="29FF3CBA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MADDE 13-</w:t>
                  </w:r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 (1)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Yönetmeliğin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26 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ncı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 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maddesi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hükmü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çerçevesinde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ilgili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taraflardan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birinin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verilen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süreler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dâhilinde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istenilen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biçimde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gerekli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bilgi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belgeleri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sağlamaması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da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bu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bilgi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belgelere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erişimi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reddetmesi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veya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soruşturmayı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engellediğinin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anlaşılması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veya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yanlış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da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yanıltıcı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bilgi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vermesi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hallerinde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söz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konusu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taraf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işbirliğine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gelmemiş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sayılır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. Bu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gibi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hallerde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soruşturma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kapsamındaki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geçici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veya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nihai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belirlemeler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olumlu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da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olumsuz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şekilde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mevcut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verilere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göre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yapılabilir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.</w:t>
                  </w:r>
                </w:p>
                <w:p w14:paraId="3FC98350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(2)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İlgili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tarafların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işbirliğine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gelmemesi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veya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kısmen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işbirliğine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gelmesi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halinde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bahse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konu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taraf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için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soruşturmanın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sonucu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işbirliğine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gelinmesine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nazaran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daha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az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avantajlı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olabilir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.</w:t>
                  </w:r>
                </w:p>
                <w:p w14:paraId="30BF6270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lastRenderedPageBreak/>
                    <w:t xml:space="preserve">Meri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önlemin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uygulanması</w:t>
                  </w:r>
                  <w:proofErr w:type="spellEnd"/>
                </w:p>
                <w:p w14:paraId="39303C61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MADDE 14-</w:t>
                  </w:r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 (1)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Yönetmeliğin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35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inci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maddesinin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dördüncü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fıkrası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uyarınca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, meri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önlem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soruşturma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sonuçlanıncaya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kadar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yürürlükte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kalmaya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devam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eder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.</w:t>
                  </w:r>
                </w:p>
                <w:p w14:paraId="0A8918FA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Soruşturmanın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başlangıç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tarihi</w:t>
                  </w:r>
                  <w:proofErr w:type="spellEnd"/>
                </w:p>
                <w:p w14:paraId="488FEA17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MADDE 15 -</w:t>
                  </w:r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 (1)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Soruşturma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bu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Tebliğin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yayımı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tarihinde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başlamış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kabul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edilir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.</w:t>
                  </w:r>
                </w:p>
                <w:p w14:paraId="541441D5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Yürürlük</w:t>
                  </w:r>
                  <w:proofErr w:type="spellEnd"/>
                </w:p>
                <w:p w14:paraId="282E5B2D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MADDE 16-</w:t>
                  </w:r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 (1) Bu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Tebliğ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yayımı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tarihinde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yürürlüğe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girer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.</w:t>
                  </w:r>
                </w:p>
                <w:p w14:paraId="156C9C2D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Yürütme</w:t>
                  </w:r>
                  <w:proofErr w:type="spellEnd"/>
                </w:p>
                <w:p w14:paraId="02B02120" w14:textId="77777777" w:rsidR="009756EE" w:rsidRPr="009756EE" w:rsidRDefault="009756EE" w:rsidP="009756EE">
                  <w:pPr>
                    <w:widowControl/>
                    <w:spacing w:line="240" w:lineRule="atLeast"/>
                    <w:ind w:firstLine="566"/>
                    <w:rPr>
                      <w:rFonts w:ascii="Times New Roman" w:eastAsia="宋体" w:hAnsi="Times New Roman" w:cs="Times New Roman"/>
                      <w:kern w:val="0"/>
                      <w:sz w:val="19"/>
                      <w:szCs w:val="19"/>
                    </w:rPr>
                  </w:pPr>
                  <w:r w:rsidRPr="009756EE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18"/>
                      <w:szCs w:val="18"/>
                    </w:rPr>
                    <w:t>MADDE 17-</w:t>
                  </w:r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 (1) Bu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Tebliğ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hükümlerini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Ticaret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Bakanı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yürütür</w:t>
                  </w:r>
                  <w:proofErr w:type="spellEnd"/>
                  <w:r w:rsidRPr="009756EE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.</w:t>
                  </w:r>
                </w:p>
                <w:p w14:paraId="39F373A2" w14:textId="77777777" w:rsidR="009756EE" w:rsidRPr="009756EE" w:rsidRDefault="009756EE" w:rsidP="009756E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</w:pPr>
                  <w:r w:rsidRPr="009756EE">
                    <w:rPr>
                      <w:rFonts w:ascii="Arial" w:eastAsia="宋体" w:hAnsi="Arial" w:cs="Arial"/>
                      <w:b/>
                      <w:bCs/>
                      <w:color w:val="00008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04F188A6" w14:textId="77777777" w:rsidR="009756EE" w:rsidRPr="009756EE" w:rsidRDefault="009756EE" w:rsidP="009756E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1E5DD953" w14:textId="77777777" w:rsidR="009756EE" w:rsidRPr="009756EE" w:rsidRDefault="009756EE"/>
    <w:sectPr w:rsidR="009756EE" w:rsidRPr="00975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EE"/>
    <w:rsid w:val="0097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93188"/>
  <w15:chartTrackingRefBased/>
  <w15:docId w15:val="{68DC4103-6D1D-4B56-9BCA-2D0DD29E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0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1601</Words>
  <Characters>9132</Characters>
  <Application>Microsoft Office Word</Application>
  <DocSecurity>0</DocSecurity>
  <Lines>76</Lines>
  <Paragraphs>21</Paragraphs>
  <ScaleCrop>false</ScaleCrop>
  <Company/>
  <LinksUpToDate>false</LinksUpToDate>
  <CharactersWithSpaces>10712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Jianwei /ZL</dc:creator>
  <cp:keywords/>
  <dc:description/>
  <cp:lastModifiedBy>LIU, Jianwei /ZL</cp:lastModifiedBy>
  <cp:revision>1</cp:revision>
  <dcterms:created xsi:type="dcterms:W3CDTF">2022-03-26T05:42:00Z</dcterms:created>
  <dcterms:modified xsi:type="dcterms:W3CDTF">2022-03-26T05:43:00Z</dcterms:modified>
</cp:coreProperties>
</file>